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9A4920" w14:textId="70309414" w:rsidR="00024425" w:rsidRDefault="00024425" w:rsidP="00024425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eastAsia="MS Mincho" w:hAnsiTheme="minorHAnsi" w:cstheme="minorHAnsi"/>
          <w:b/>
        </w:rPr>
      </w:pPr>
      <w:r>
        <w:rPr>
          <w:rFonts w:asciiTheme="minorHAnsi" w:hAnsiTheme="minorHAnsi" w:cstheme="minorHAnsi"/>
          <w:b/>
          <w:bCs/>
        </w:rPr>
        <w:t>3GPP TSG-RAN WG3 Meeting #122</w:t>
      </w:r>
      <w:r>
        <w:rPr>
          <w:rFonts w:asciiTheme="minorHAnsi" w:hAnsiTheme="minorHAnsi" w:cstheme="minorHAnsi"/>
          <w:b/>
        </w:rPr>
        <w:tab/>
      </w:r>
      <w:r>
        <w:rPr>
          <w:rFonts w:asciiTheme="minorHAnsi" w:hAnsiTheme="minorHAnsi" w:cstheme="minorHAnsi"/>
          <w:b/>
          <w:iCs/>
          <w:sz w:val="24"/>
        </w:rPr>
        <w:t>R3-23</w:t>
      </w:r>
      <w:r w:rsidR="00810454">
        <w:rPr>
          <w:rFonts w:asciiTheme="minorHAnsi" w:hAnsiTheme="minorHAnsi" w:cstheme="minorHAnsi"/>
          <w:b/>
          <w:iCs/>
          <w:sz w:val="24"/>
        </w:rPr>
        <w:t>7458</w:t>
      </w:r>
    </w:p>
    <w:p w14:paraId="10F434F5" w14:textId="77777777" w:rsidR="00024425" w:rsidRDefault="00024425" w:rsidP="00024425">
      <w:pPr>
        <w:pStyle w:val="CRCoverPage"/>
        <w:tabs>
          <w:tab w:val="right" w:pos="9639"/>
          <w:tab w:val="right" w:pos="13323"/>
        </w:tabs>
        <w:spacing w:after="0"/>
        <w:rPr>
          <w:rFonts w:asciiTheme="minorHAnsi" w:hAnsiTheme="minorHAnsi" w:cstheme="minorHAnsi"/>
          <w:b/>
          <w:noProof/>
          <w:szCs w:val="18"/>
        </w:rPr>
      </w:pPr>
      <w:r>
        <w:rPr>
          <w:rFonts w:asciiTheme="minorHAnsi" w:hAnsiTheme="minorHAnsi" w:cstheme="minorHAnsi"/>
          <w:b/>
          <w:noProof/>
          <w:szCs w:val="20"/>
        </w:rPr>
        <w:t>Chicago, USA, 13</w:t>
      </w:r>
      <w:r>
        <w:rPr>
          <w:rFonts w:asciiTheme="minorHAnsi" w:hAnsiTheme="minorHAnsi" w:cstheme="minorHAnsi"/>
          <w:b/>
          <w:noProof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noProof/>
          <w:szCs w:val="20"/>
        </w:rPr>
        <w:t xml:space="preserve"> – 17</w:t>
      </w:r>
      <w:r>
        <w:rPr>
          <w:rFonts w:asciiTheme="minorHAnsi" w:hAnsiTheme="minorHAnsi" w:cstheme="minorHAnsi"/>
          <w:b/>
          <w:noProof/>
          <w:szCs w:val="20"/>
          <w:vertAlign w:val="superscript"/>
        </w:rPr>
        <w:t>th</w:t>
      </w:r>
      <w:r>
        <w:rPr>
          <w:rFonts w:asciiTheme="minorHAnsi" w:hAnsiTheme="minorHAnsi" w:cstheme="minorHAnsi"/>
          <w:b/>
          <w:noProof/>
          <w:szCs w:val="20"/>
        </w:rPr>
        <w:t xml:space="preserve"> November, 2023</w:t>
      </w:r>
    </w:p>
    <w:p w14:paraId="326A5EDE" w14:textId="57F9610E" w:rsidR="00185DC9" w:rsidRPr="00D03FA6" w:rsidRDefault="00D32219" w:rsidP="00CF2CB2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ab/>
      </w:r>
      <w:r w:rsidR="00185DC9"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5BF90C65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514E46">
        <w:rPr>
          <w:rFonts w:asciiTheme="minorHAnsi" w:eastAsia="Times New Roman" w:hAnsiTheme="minorHAnsi" w:cstheme="minorHAnsi"/>
          <w:b/>
          <w:bCs/>
          <w:sz w:val="22"/>
          <w:szCs w:val="22"/>
        </w:rPr>
        <w:t>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58981FB5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QoE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2D5400">
        <w:rPr>
          <w:rFonts w:asciiTheme="minorHAnsi" w:hAnsiTheme="minorHAnsi" w:cstheme="minorHAnsi"/>
          <w:iCs/>
          <w:sz w:val="22"/>
          <w:szCs w:val="22"/>
        </w:rPr>
        <w:t xml:space="preserve"> and open issues identified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2D5400">
        <w:rPr>
          <w:rFonts w:asciiTheme="minorHAnsi" w:hAnsiTheme="minorHAnsi" w:cstheme="minorHAnsi"/>
          <w:iCs/>
          <w:sz w:val="22"/>
          <w:szCs w:val="22"/>
        </w:rPr>
        <w:t>in the previous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meeting</w:t>
      </w:r>
      <w:r w:rsidR="002D5400">
        <w:rPr>
          <w:rFonts w:asciiTheme="minorHAnsi" w:hAnsiTheme="minorHAnsi" w:cstheme="minorHAnsi"/>
          <w:iCs/>
          <w:sz w:val="22"/>
          <w:szCs w:val="22"/>
        </w:rPr>
        <w:t>s.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5F1667F3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 xml:space="preserve">The following </w:t>
      </w:r>
      <w:r w:rsidR="00001EEB">
        <w:rPr>
          <w:rFonts w:asciiTheme="minorHAnsi" w:hAnsiTheme="minorHAnsi" w:cstheme="minorHAnsi"/>
          <w:iCs/>
          <w:sz w:val="22"/>
          <w:szCs w:val="22"/>
        </w:rPr>
        <w:t xml:space="preserve">principle was </w:t>
      </w:r>
      <w:r w:rsidRPr="008276AB">
        <w:rPr>
          <w:rFonts w:asciiTheme="minorHAnsi" w:hAnsiTheme="minorHAnsi" w:cstheme="minorHAnsi"/>
          <w:iCs/>
          <w:sz w:val="22"/>
          <w:szCs w:val="22"/>
        </w:rPr>
        <w:t>agree</w:t>
      </w:r>
      <w:r w:rsidR="00001EEB">
        <w:rPr>
          <w:rFonts w:asciiTheme="minorHAnsi" w:hAnsiTheme="minorHAnsi" w:cstheme="minorHAnsi"/>
          <w:iCs/>
          <w:sz w:val="22"/>
          <w:szCs w:val="22"/>
        </w:rPr>
        <w:t>d in one of the previous RAN3 meetings:</w:t>
      </w:r>
    </w:p>
    <w:p w14:paraId="7805101B" w14:textId="7B594159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QoE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FFS whether enhancements are needed to support the </w:t>
      </w:r>
      <w:proofErr w:type="gramStart"/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requirement</w:t>
      </w:r>
      <w:proofErr w:type="gramEnd"/>
    </w:p>
    <w:p w14:paraId="5794BE14" w14:textId="47EEE278" w:rsidR="00C0485C" w:rsidRPr="00C0485C" w:rsidRDefault="00942533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QoE enhancements for UEs in HSDN cells</w:t>
      </w:r>
    </w:p>
    <w:p w14:paraId="13EA565D" w14:textId="77777777" w:rsid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RAN3 first focus on supporting the following scenario QMC:</w:t>
      </w:r>
    </w:p>
    <w:p w14:paraId="1FFFDFC4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-  </w:t>
      </w: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QoE measurement collection and reporting when the UE is in HSDN cells </w:t>
      </w:r>
    </w:p>
    <w:p w14:paraId="36381B99" w14:textId="77777777" w:rsidR="00001EEB" w:rsidRPr="001A20A4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1A20A4">
        <w:rPr>
          <w:rFonts w:asciiTheme="minorHAnsi" w:hAnsiTheme="minorHAnsi" w:cstheme="minorHAnsi"/>
          <w:iCs/>
          <w:color w:val="00B050"/>
          <w:sz w:val="22"/>
          <w:szCs w:val="22"/>
        </w:rPr>
        <w:t>For confining the QoE measurements to HSDN cells, RAN3 to choose between the HSDN-wide indication, existing area scope and other possible enhancements if needed.</w:t>
      </w:r>
    </w:p>
    <w:p w14:paraId="69D7C0F9" w14:textId="19D3E3E0" w:rsidR="00025BC1" w:rsidRDefault="000C07B1" w:rsidP="00025BC1">
      <w:pPr>
        <w:rPr>
          <w:rFonts w:asciiTheme="minorHAnsi" w:hAnsiTheme="minorHAnsi" w:cstheme="minorHAnsi"/>
          <w:iCs/>
          <w:sz w:val="22"/>
          <w:szCs w:val="22"/>
        </w:rPr>
      </w:pPr>
      <w:r w:rsidRPr="000C07B1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  <w:r>
        <w:rPr>
          <w:rFonts w:asciiTheme="minorHAnsi" w:hAnsiTheme="minorHAnsi" w:cstheme="minorHAnsi"/>
          <w:iCs/>
          <w:sz w:val="22"/>
          <w:szCs w:val="22"/>
        </w:rPr>
        <w:t xml:space="preserve">. </w:t>
      </w:r>
      <w:r w:rsidRPr="000C07B1">
        <w:rPr>
          <w:rFonts w:asciiTheme="minorHAnsi" w:hAnsiTheme="minorHAnsi" w:cstheme="minorHAnsi"/>
          <w:iCs/>
          <w:sz w:val="22"/>
          <w:szCs w:val="22"/>
        </w:rPr>
        <w:t>If OAM is interested in collecting QoE from all HSDN cells</w:t>
      </w:r>
      <w:r>
        <w:rPr>
          <w:rFonts w:asciiTheme="minorHAnsi" w:hAnsiTheme="minorHAnsi" w:cstheme="minorHAnsi"/>
          <w:iCs/>
          <w:sz w:val="22"/>
          <w:szCs w:val="22"/>
        </w:rPr>
        <w:t xml:space="preserve"> (suppose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there are 32 HSDN cells along the route of </w:t>
      </w:r>
      <w:r w:rsidR="00471FC4">
        <w:rPr>
          <w:rFonts w:asciiTheme="minorHAnsi" w:hAnsiTheme="minorHAnsi" w:cstheme="minorHAnsi"/>
          <w:iCs/>
          <w:sz w:val="22"/>
          <w:szCs w:val="22"/>
        </w:rPr>
        <w:t>an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HST)</w:t>
      </w:r>
      <w:r w:rsidRPr="000C07B1">
        <w:rPr>
          <w:rFonts w:asciiTheme="minorHAnsi" w:hAnsiTheme="minorHAnsi" w:cstheme="minorHAnsi"/>
          <w:iCs/>
          <w:sz w:val="22"/>
          <w:szCs w:val="22"/>
        </w:rPr>
        <w:t xml:space="preserve">, currently it needs to provide the list of all 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32 </w:t>
      </w:r>
      <w:r w:rsidRPr="000C07B1">
        <w:rPr>
          <w:rFonts w:asciiTheme="minorHAnsi" w:hAnsiTheme="minorHAnsi" w:cstheme="minorHAnsi"/>
          <w:iCs/>
          <w:sz w:val="22"/>
          <w:szCs w:val="22"/>
        </w:rPr>
        <w:t>HSDN cells in the Area Scope of QMC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. </w:t>
      </w:r>
    </w:p>
    <w:p w14:paraId="7DA0186D" w14:textId="731B3811" w:rsidR="000C07B1" w:rsidRDefault="00025BC1" w:rsidP="008276AB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Instead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 xml:space="preserve">if the </w:t>
      </w:r>
      <w:r w:rsidRPr="00BA48F6">
        <w:rPr>
          <w:rFonts w:asciiTheme="minorHAnsi" w:hAnsiTheme="minorHAnsi" w:cstheme="minorHAnsi"/>
          <w:iCs/>
          <w:sz w:val="22"/>
          <w:szCs w:val="22"/>
        </w:rPr>
        <w:t xml:space="preserve">OAM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 xml:space="preserve">is </w:t>
      </w:r>
      <w:r w:rsidRPr="00BA48F6">
        <w:rPr>
          <w:rFonts w:asciiTheme="minorHAnsi" w:hAnsiTheme="minorHAnsi" w:cstheme="minorHAnsi"/>
          <w:iCs/>
          <w:sz w:val="22"/>
          <w:szCs w:val="22"/>
        </w:rPr>
        <w:t>able to</w:t>
      </w:r>
      <w:proofErr w:type="gram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indicate that it is interested in collecting QoE only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</w:t>
      </w:r>
      <w:r>
        <w:rPr>
          <w:rFonts w:asciiTheme="minorHAnsi" w:hAnsiTheme="minorHAnsi" w:cstheme="minorHAnsi"/>
          <w:iCs/>
          <w:sz w:val="22"/>
          <w:szCs w:val="22"/>
        </w:rPr>
        <w:t>N-wide</w:t>
      </w:r>
      <w:r w:rsidRPr="00BA48F6"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, then we can avoid a lot of signaling overhead over NG. This is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an agreement in Rel-18 SON/MDT for PNI-NPN where the CAG ID can be included in Area Scope of MDT to collect MDT from specific CAG cells instead of providing all the cells under the CAG.</w:t>
      </w:r>
    </w:p>
    <w:p w14:paraId="69923B37" w14:textId="2CFDDB86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025BC1"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</w:t>
      </w:r>
      <w:r w:rsidR="005676B6">
        <w:rPr>
          <w:rFonts w:asciiTheme="minorHAnsi" w:hAnsiTheme="minorHAnsi" w:cstheme="minorHAnsi"/>
          <w:iCs/>
          <w:sz w:val="22"/>
          <w:szCs w:val="22"/>
        </w:rPr>
        <w:t>only from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  <w:r w:rsidR="00025BC1">
        <w:rPr>
          <w:rFonts w:asciiTheme="minorHAnsi" w:hAnsiTheme="minorHAnsi" w:cstheme="minorHAnsi"/>
          <w:iCs/>
          <w:sz w:val="22"/>
          <w:szCs w:val="22"/>
        </w:rPr>
        <w:t>, thereby wasting NG</w:t>
      </w:r>
      <w:r w:rsidR="00F626D2">
        <w:rPr>
          <w:rFonts w:asciiTheme="minorHAnsi" w:hAnsiTheme="minorHAnsi" w:cstheme="minorHAnsi"/>
          <w:iCs/>
          <w:sz w:val="22"/>
          <w:szCs w:val="22"/>
        </w:rPr>
        <w:t xml:space="preserve"> signaling</w:t>
      </w:r>
      <w:r w:rsidR="00025BC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086751">
        <w:rPr>
          <w:rFonts w:asciiTheme="minorHAnsi" w:hAnsiTheme="minorHAnsi" w:cstheme="minorHAnsi"/>
          <w:iCs/>
          <w:sz w:val="22"/>
          <w:szCs w:val="22"/>
        </w:rPr>
        <w:t>resources.</w:t>
      </w:r>
    </w:p>
    <w:p w14:paraId="396B636B" w14:textId="2BDE4552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QoE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 w:rsidR="00BF629A"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4B34DC">
        <w:rPr>
          <w:rFonts w:asciiTheme="minorHAnsi" w:hAnsiTheme="minorHAnsi" w:cstheme="minorHAnsi"/>
          <w:iCs/>
          <w:sz w:val="22"/>
          <w:szCs w:val="22"/>
        </w:rPr>
        <w:t>indicator in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0C892CBE" w14:textId="40FA7DB6" w:rsidR="0068113F" w:rsidRDefault="0068113F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Further, </w:t>
      </w:r>
      <w:r w:rsidRPr="0068113F">
        <w:rPr>
          <w:rFonts w:asciiTheme="minorHAnsi" w:hAnsiTheme="minorHAnsi" w:cstheme="minorHAnsi"/>
          <w:iCs/>
          <w:sz w:val="22"/>
          <w:szCs w:val="22"/>
        </w:rPr>
        <w:t>RAN3 should discuss how to handle QMC when UE moves from a HSDN cell to a non-HSDN cell</w:t>
      </w:r>
      <w:r w:rsidR="0055640D">
        <w:rPr>
          <w:rFonts w:asciiTheme="minorHAnsi" w:hAnsiTheme="minorHAnsi" w:cstheme="minorHAnsi"/>
          <w:iCs/>
          <w:sz w:val="22"/>
          <w:szCs w:val="22"/>
        </w:rPr>
        <w:t xml:space="preserve">. We think that the </w:t>
      </w:r>
      <w:r w:rsidR="0055640D" w:rsidRPr="0055640D">
        <w:rPr>
          <w:rFonts w:asciiTheme="minorHAnsi" w:hAnsiTheme="minorHAnsi" w:cstheme="minorHAnsi"/>
          <w:iCs/>
          <w:sz w:val="22"/>
          <w:szCs w:val="22"/>
        </w:rPr>
        <w:t xml:space="preserve">gNB can release/pause the QoE config to ensure QoE is collected only in HSDN cells, as long as there is no ongoing QoE </w:t>
      </w:r>
      <w:proofErr w:type="gramStart"/>
      <w:r w:rsidR="0055640D" w:rsidRPr="0055640D">
        <w:rPr>
          <w:rFonts w:asciiTheme="minorHAnsi" w:hAnsiTheme="minorHAnsi" w:cstheme="minorHAnsi"/>
          <w:iCs/>
          <w:sz w:val="22"/>
          <w:szCs w:val="22"/>
        </w:rPr>
        <w:t>session</w:t>
      </w:r>
      <w:proofErr w:type="gramEnd"/>
    </w:p>
    <w:p w14:paraId="7F083D2D" w14:textId="0DB97A0F" w:rsidR="00AB55D5" w:rsidRPr="00DD50F5" w:rsidRDefault="000E1B61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55640D">
        <w:rPr>
          <w:rFonts w:asciiTheme="minorHAnsi" w:hAnsiTheme="minorHAnsi" w:cstheme="minorHAnsi"/>
          <w:iCs/>
          <w:sz w:val="22"/>
          <w:szCs w:val="22"/>
        </w:rPr>
        <w:t>W</w:t>
      </w:r>
      <w:r w:rsidR="00AE4022">
        <w:rPr>
          <w:rFonts w:asciiTheme="minorHAnsi" w:hAnsiTheme="minorHAnsi" w:cstheme="minorHAnsi"/>
          <w:iCs/>
          <w:sz w:val="22"/>
          <w:szCs w:val="22"/>
        </w:rPr>
        <w:t>hen</w:t>
      </w:r>
      <w:r w:rsidR="00AB55D5"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 w:rsidR="00AE4022">
        <w:rPr>
          <w:rFonts w:asciiTheme="minorHAnsi" w:hAnsiTheme="minorHAnsi" w:cstheme="minorHAnsi"/>
          <w:iCs/>
          <w:sz w:val="22"/>
          <w:szCs w:val="22"/>
        </w:rPr>
        <w:t>moves</w:t>
      </w:r>
      <w:r w:rsidR="00AB55D5">
        <w:rPr>
          <w:rFonts w:asciiTheme="minorHAnsi" w:hAnsiTheme="minorHAnsi" w:cstheme="minorHAnsi"/>
          <w:iCs/>
          <w:sz w:val="22"/>
          <w:szCs w:val="22"/>
        </w:rPr>
        <w:t xml:space="preserve"> from a HSDN cell to a non-HSDN cell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r w:rsidR="00AB55D5" w:rsidRPr="00DD50F5">
        <w:rPr>
          <w:rFonts w:asciiTheme="minorHAnsi" w:hAnsiTheme="minorHAnsi" w:cstheme="minorHAnsi"/>
          <w:iCs/>
          <w:sz w:val="22"/>
          <w:szCs w:val="22"/>
        </w:rPr>
        <w:t>gNB can release/pause the QoE config to ensure QoE is collected only in HSDN cells</w:t>
      </w:r>
      <w:r w:rsidR="00DC7EA0" w:rsidRPr="00DD50F5">
        <w:rPr>
          <w:rFonts w:asciiTheme="minorHAnsi" w:hAnsiTheme="minorHAnsi" w:cstheme="minorHAnsi"/>
          <w:iCs/>
          <w:sz w:val="22"/>
          <w:szCs w:val="22"/>
        </w:rPr>
        <w:t xml:space="preserve">, as long as there is no ongoing QoE </w:t>
      </w:r>
      <w:proofErr w:type="gramStart"/>
      <w:r w:rsidR="00DC7EA0" w:rsidRPr="00DD50F5">
        <w:rPr>
          <w:rFonts w:asciiTheme="minorHAnsi" w:hAnsiTheme="minorHAnsi" w:cstheme="minorHAnsi"/>
          <w:iCs/>
          <w:sz w:val="22"/>
          <w:szCs w:val="22"/>
        </w:rPr>
        <w:t>session</w:t>
      </w:r>
      <w:proofErr w:type="gramEnd"/>
    </w:p>
    <w:p w14:paraId="13D12876" w14:textId="77777777" w:rsidR="009D60BA" w:rsidRPr="009D60BA" w:rsidRDefault="009D60BA" w:rsidP="009D60BA">
      <w:pPr>
        <w:pStyle w:val="ListParagraph"/>
        <w:rPr>
          <w:rFonts w:asciiTheme="minorHAnsi" w:hAnsiTheme="minorHAnsi" w:cstheme="minorHAnsi"/>
          <w:iCs/>
          <w:sz w:val="22"/>
          <w:szCs w:val="22"/>
        </w:rPr>
      </w:pPr>
    </w:p>
    <w:p w14:paraId="123B5C6B" w14:textId="64E30EC3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 xml:space="preserve">QoE enhancements for UEs in high </w:t>
      </w:r>
      <w:r w:rsidR="00942533">
        <w:rPr>
          <w:rFonts w:asciiTheme="minorHAnsi" w:eastAsia="MS Mincho" w:hAnsiTheme="minorHAnsi" w:cstheme="minorHAnsi"/>
          <w:iCs/>
          <w:sz w:val="28"/>
          <w:lang w:eastAsia="ja-JP"/>
        </w:rPr>
        <w:t>speed</w:t>
      </w:r>
    </w:p>
    <w:p w14:paraId="209CD664" w14:textId="77777777" w:rsidR="00001EEB" w:rsidRPr="00001EEB" w:rsidRDefault="00001EEB" w:rsidP="00001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B05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For supporting QMC in high mobility scenarios, RAN3 to determine the meaning of “high </w:t>
      </w:r>
      <w:proofErr w:type="gramStart"/>
      <w:r w:rsidRPr="00001EEB">
        <w:rPr>
          <w:rFonts w:asciiTheme="minorHAnsi" w:hAnsiTheme="minorHAnsi" w:cstheme="minorHAnsi"/>
          <w:iCs/>
          <w:color w:val="00B050"/>
          <w:sz w:val="22"/>
          <w:szCs w:val="22"/>
        </w:rPr>
        <w:t>mobility”</w:t>
      </w:r>
      <w:proofErr w:type="gramEnd"/>
    </w:p>
    <w:p w14:paraId="6B4D40D5" w14:textId="5133F6E8" w:rsidR="00941C5C" w:rsidRDefault="008344FA" w:rsidP="006A2818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 xml:space="preserve">Supporting QMC for </w:t>
      </w:r>
      <w:r w:rsidR="0063230F">
        <w:rPr>
          <w:rFonts w:asciiTheme="minorHAnsi" w:hAnsiTheme="minorHAnsi" w:cstheme="minorHAnsi"/>
          <w:iCs/>
          <w:sz w:val="22"/>
          <w:szCs w:val="22"/>
        </w:rPr>
        <w:t>“</w:t>
      </w:r>
      <w:r>
        <w:rPr>
          <w:rFonts w:asciiTheme="minorHAnsi" w:hAnsiTheme="minorHAnsi" w:cstheme="minorHAnsi"/>
          <w:iCs/>
          <w:sz w:val="22"/>
          <w:szCs w:val="22"/>
        </w:rPr>
        <w:t>high mobility</w:t>
      </w:r>
      <w:r w:rsidR="0063230F">
        <w:rPr>
          <w:rFonts w:asciiTheme="minorHAnsi" w:hAnsiTheme="minorHAnsi" w:cstheme="minorHAnsi"/>
          <w:iCs/>
          <w:sz w:val="22"/>
          <w:szCs w:val="22"/>
        </w:rPr>
        <w:t>”</w:t>
      </w:r>
      <w:r w:rsidR="004B498E">
        <w:rPr>
          <w:rFonts w:asciiTheme="minorHAnsi" w:hAnsiTheme="minorHAnsi" w:cstheme="minorHAnsi"/>
          <w:iCs/>
          <w:sz w:val="22"/>
          <w:szCs w:val="22"/>
        </w:rPr>
        <w:t xml:space="preserve"> mean</w:t>
      </w:r>
      <w:r w:rsidR="00941C5C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A2818">
        <w:rPr>
          <w:rFonts w:asciiTheme="minorHAnsi" w:hAnsiTheme="minorHAnsi" w:cstheme="minorHAnsi"/>
          <w:iCs/>
          <w:sz w:val="22"/>
          <w:szCs w:val="22"/>
        </w:rPr>
        <w:t xml:space="preserve">1) </w:t>
      </w:r>
      <w:r w:rsidR="00DC351D">
        <w:rPr>
          <w:rFonts w:asciiTheme="minorHAnsi" w:hAnsiTheme="minorHAnsi" w:cstheme="minorHAnsi"/>
          <w:iCs/>
          <w:sz w:val="22"/>
          <w:szCs w:val="22"/>
        </w:rPr>
        <w:t>Ability</w:t>
      </w:r>
      <w:r w:rsidR="004B498E" w:rsidRPr="00941C5C">
        <w:rPr>
          <w:rFonts w:asciiTheme="minorHAnsi" w:hAnsiTheme="minorHAnsi" w:cstheme="minorHAnsi"/>
          <w:iCs/>
          <w:sz w:val="22"/>
          <w:szCs w:val="22"/>
        </w:rPr>
        <w:t xml:space="preserve"> to collect QoE from only those UEs which are above a certain s</w:t>
      </w:r>
      <w:r w:rsidR="00941C5C" w:rsidRPr="00941C5C">
        <w:rPr>
          <w:rFonts w:asciiTheme="minorHAnsi" w:hAnsiTheme="minorHAnsi" w:cstheme="minorHAnsi"/>
          <w:iCs/>
          <w:sz w:val="22"/>
          <w:szCs w:val="22"/>
        </w:rPr>
        <w:t>peed</w:t>
      </w:r>
      <w:r w:rsidR="006A2818">
        <w:rPr>
          <w:rFonts w:asciiTheme="minorHAnsi" w:hAnsiTheme="minorHAnsi" w:cstheme="minorHAnsi"/>
          <w:iCs/>
          <w:sz w:val="22"/>
          <w:szCs w:val="22"/>
        </w:rPr>
        <w:t xml:space="preserve"> and 2) </w:t>
      </w:r>
      <w:r w:rsidR="00DC351D">
        <w:rPr>
          <w:rFonts w:asciiTheme="minorHAnsi" w:hAnsiTheme="minorHAnsi" w:cstheme="minorHAnsi"/>
          <w:iCs/>
          <w:sz w:val="22"/>
          <w:szCs w:val="22"/>
        </w:rPr>
        <w:t>Ability</w:t>
      </w:r>
      <w:r w:rsidR="00941C5C">
        <w:rPr>
          <w:rFonts w:asciiTheme="minorHAnsi" w:hAnsiTheme="minorHAnsi" w:cstheme="minorHAnsi"/>
          <w:iCs/>
          <w:sz w:val="22"/>
          <w:szCs w:val="22"/>
        </w:rPr>
        <w:t xml:space="preserve"> to stop collecting QoE if UE’s speed is below a threshold</w:t>
      </w:r>
      <w:r w:rsidR="00DC351D">
        <w:rPr>
          <w:rFonts w:asciiTheme="minorHAnsi" w:hAnsiTheme="minorHAnsi" w:cstheme="minorHAnsi"/>
          <w:iCs/>
          <w:sz w:val="22"/>
          <w:szCs w:val="22"/>
        </w:rPr>
        <w:t>. We therefore have the following proposal:</w:t>
      </w:r>
    </w:p>
    <w:p w14:paraId="7698EC0F" w14:textId="621D96B3" w:rsidR="006A2818" w:rsidRDefault="006A2818" w:rsidP="006A2818">
      <w:pPr>
        <w:rPr>
          <w:rFonts w:asciiTheme="minorHAnsi" w:hAnsiTheme="minorHAnsi" w:cstheme="minorHAnsi"/>
          <w:iCs/>
          <w:sz w:val="22"/>
          <w:szCs w:val="22"/>
        </w:rPr>
      </w:pPr>
      <w:r w:rsidRPr="00DC351D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 w:rsidRPr="00DC351D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Supporting QMC for “high mobility” mean the following requirements:</w:t>
      </w:r>
    </w:p>
    <w:p w14:paraId="63A4E4CC" w14:textId="77777777" w:rsidR="006A2818" w:rsidRDefault="006A2818" w:rsidP="006A2818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iCs/>
          <w:sz w:val="22"/>
          <w:szCs w:val="22"/>
        </w:rPr>
      </w:pPr>
      <w:r w:rsidRPr="0063230F">
        <w:rPr>
          <w:rFonts w:asciiTheme="minorHAnsi" w:hAnsiTheme="minorHAnsi" w:cstheme="minorHAnsi"/>
          <w:b/>
          <w:bCs/>
          <w:iCs/>
          <w:sz w:val="22"/>
          <w:szCs w:val="22"/>
        </w:rPr>
        <w:t>Requirement 1: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1C5C">
        <w:rPr>
          <w:rFonts w:asciiTheme="minorHAnsi" w:hAnsiTheme="minorHAnsi" w:cstheme="minorHAnsi"/>
          <w:iCs/>
          <w:sz w:val="22"/>
          <w:szCs w:val="22"/>
        </w:rPr>
        <w:t xml:space="preserve">To be able to collect QoE from only those UEs which are above a certain </w:t>
      </w:r>
      <w:proofErr w:type="gramStart"/>
      <w:r w:rsidRPr="00941C5C">
        <w:rPr>
          <w:rFonts w:asciiTheme="minorHAnsi" w:hAnsiTheme="minorHAnsi" w:cstheme="minorHAnsi"/>
          <w:iCs/>
          <w:sz w:val="22"/>
          <w:szCs w:val="22"/>
        </w:rPr>
        <w:t>speed</w:t>
      </w:r>
      <w:proofErr w:type="gramEnd"/>
    </w:p>
    <w:p w14:paraId="47EA4EEF" w14:textId="77777777" w:rsidR="006A2818" w:rsidRDefault="006A2818" w:rsidP="006A2818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iCs/>
          <w:sz w:val="22"/>
          <w:szCs w:val="22"/>
        </w:rPr>
      </w:pPr>
      <w:r w:rsidRPr="0063230F">
        <w:rPr>
          <w:rFonts w:asciiTheme="minorHAnsi" w:hAnsiTheme="minorHAnsi" w:cstheme="minorHAnsi"/>
          <w:b/>
          <w:bCs/>
          <w:iCs/>
          <w:sz w:val="22"/>
          <w:szCs w:val="22"/>
        </w:rPr>
        <w:t>Requirement 2:</w:t>
      </w:r>
      <w:r>
        <w:rPr>
          <w:rFonts w:asciiTheme="minorHAnsi" w:hAnsiTheme="minorHAnsi" w:cstheme="minorHAnsi"/>
          <w:iCs/>
          <w:sz w:val="22"/>
          <w:szCs w:val="22"/>
        </w:rPr>
        <w:t xml:space="preserve"> To be able to stop collecting QoE if UE’s speed is below a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457BE0D4" w14:textId="77777777" w:rsidR="006A2818" w:rsidRPr="00001EEB" w:rsidRDefault="006A2818" w:rsidP="006A28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001EEB">
        <w:rPr>
          <w:rFonts w:asciiTheme="minorHAnsi" w:hAnsiTheme="minorHAnsi" w:cstheme="minorHAnsi"/>
          <w:iCs/>
          <w:color w:val="0070C0"/>
          <w:sz w:val="22"/>
          <w:szCs w:val="22"/>
        </w:rPr>
        <w:t>Whether the ‘high UE velocity’ indication can be added into the QoE configuration.</w:t>
      </w:r>
    </w:p>
    <w:p w14:paraId="4D4D1148" w14:textId="4B0E9BDD" w:rsidR="00001EEB" w:rsidRDefault="00942533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r w:rsidR="00D45FCA" w:rsidRPr="00942533">
        <w:rPr>
          <w:rFonts w:asciiTheme="minorHAnsi" w:hAnsiTheme="minorHAnsi" w:cstheme="minorHAnsi"/>
          <w:iCs/>
          <w:sz w:val="22"/>
          <w:szCs w:val="22"/>
        </w:rPr>
        <w:t>measurements.</w:t>
      </w:r>
    </w:p>
    <w:p w14:paraId="2D6C1185" w14:textId="2B4B67F4" w:rsidR="00431986" w:rsidRDefault="00431986" w:rsidP="00431986">
      <w:pPr>
        <w:rPr>
          <w:rFonts w:asciiTheme="minorHAnsi" w:hAnsiTheme="minorHAnsi" w:cstheme="minorHAnsi"/>
          <w:iCs/>
          <w:sz w:val="22"/>
          <w:szCs w:val="22"/>
        </w:rPr>
      </w:pPr>
      <w:bookmarkStart w:id="0" w:name="_Hlk134657746"/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 xml:space="preserve">) are configured as part of immediate MDT </w:t>
      </w:r>
      <w:r w:rsidR="00D45FCA" w:rsidRPr="00942533">
        <w:rPr>
          <w:rFonts w:asciiTheme="minorHAnsi" w:hAnsiTheme="minorHAnsi" w:cstheme="minorHAnsi"/>
          <w:iCs/>
          <w:sz w:val="22"/>
          <w:szCs w:val="22"/>
        </w:rPr>
        <w:t>measurements.</w:t>
      </w:r>
    </w:p>
    <w:p w14:paraId="15C2C7C1" w14:textId="52F9ADC5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 w:rsidR="00EA7D19"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 QoE configuration sent to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6C75FAC5" w14:textId="53176B89" w:rsidR="00F318B6" w:rsidRPr="00F318B6" w:rsidRDefault="00F318B6" w:rsidP="00F318B6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5</w:t>
      </w: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 w:rsidR="00EA7D19"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 w:rsidR="00EA7D19" w:rsidRPr="00280196"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280196">
        <w:rPr>
          <w:rFonts w:asciiTheme="minorHAnsi" w:hAnsiTheme="minorHAnsi" w:cstheme="minorHAnsi"/>
          <w:b/>
          <w:bCs/>
          <w:iCs/>
          <w:sz w:val="22"/>
          <w:szCs w:val="22"/>
        </w:rPr>
        <w:t>”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 w:rsidR="00EA7D19"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8E8C085" w14:textId="499BD4DB" w:rsidR="007E5F0E" w:rsidRPr="007E5F0E" w:rsidRDefault="00F318B6" w:rsidP="006A2818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55640D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6A2818">
        <w:rPr>
          <w:rFonts w:asciiTheme="minorHAnsi" w:hAnsiTheme="minorHAnsi" w:cstheme="minorHAnsi"/>
          <w:iCs/>
          <w:sz w:val="22"/>
          <w:szCs w:val="22"/>
        </w:rPr>
        <w:t>W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hen UE’s speed goes below the </w:t>
      </w:r>
      <w:r w:rsidR="007E5F0E">
        <w:rPr>
          <w:rFonts w:asciiTheme="minorHAnsi" w:hAnsiTheme="minorHAnsi" w:cstheme="minorHAnsi"/>
          <w:iCs/>
          <w:sz w:val="22"/>
          <w:szCs w:val="22"/>
        </w:rPr>
        <w:t>S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>peed threshold</w:t>
      </w:r>
      <w:r w:rsidR="006A2818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7E5F0E" w:rsidRPr="007E5F0E">
        <w:rPr>
          <w:rFonts w:asciiTheme="minorHAnsi" w:hAnsiTheme="minorHAnsi" w:cstheme="minorHAnsi"/>
          <w:iCs/>
          <w:sz w:val="22"/>
          <w:szCs w:val="22"/>
        </w:rPr>
        <w:t xml:space="preserve">gNB can release/pause the QoE config to ensure QoE is collected only when UE’s speed is above the Speed </w:t>
      </w:r>
      <w:proofErr w:type="gramStart"/>
      <w:r w:rsidR="007E5F0E"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bookmarkEnd w:id="0"/>
    <w:p w14:paraId="2879BDCB" w14:textId="77777777" w:rsidR="007E5F0E" w:rsidRDefault="007E5F0E" w:rsidP="00F318B6">
      <w:pPr>
        <w:rPr>
          <w:rFonts w:asciiTheme="minorHAnsi" w:hAnsiTheme="minorHAnsi" w:cstheme="minorHAnsi"/>
          <w:iCs/>
          <w:sz w:val="22"/>
          <w:szCs w:val="22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1E9AF4B7" w:rsidR="00CF3B82" w:rsidRPr="0055640D" w:rsidRDefault="0055640D" w:rsidP="00733530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55640D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QoE enhancements for UEs in HSDN cells</w:t>
      </w:r>
    </w:p>
    <w:p w14:paraId="44E96992" w14:textId="77777777" w:rsidR="0055640D" w:rsidRPr="00231B9E" w:rsidRDefault="0055640D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B1A19EC" w14:textId="77777777" w:rsidR="0055640D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only from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QMC, thereby wasting NG signaling resources.</w:t>
      </w:r>
    </w:p>
    <w:p w14:paraId="336179FB" w14:textId="77777777" w:rsidR="0055640D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>: OAM should be able to indicate that it is interested in collecting QoE only from HSDN cells by providing a “</w:t>
      </w:r>
      <w:r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>
        <w:rPr>
          <w:rFonts w:asciiTheme="minorHAnsi" w:hAnsiTheme="minorHAnsi" w:cstheme="minorHAnsi"/>
          <w:iCs/>
          <w:sz w:val="22"/>
          <w:szCs w:val="22"/>
        </w:rPr>
        <w:t>” indicator in Area Scope of QMC</w:t>
      </w:r>
    </w:p>
    <w:p w14:paraId="3D9166C7" w14:textId="77777777" w:rsidR="0055640D" w:rsidRPr="00DD50F5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9D60BA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When</w:t>
      </w:r>
      <w:r w:rsidRPr="00AB55D5">
        <w:rPr>
          <w:rFonts w:asciiTheme="minorHAnsi" w:hAnsiTheme="minorHAnsi" w:cstheme="minorHAnsi"/>
          <w:iCs/>
          <w:sz w:val="22"/>
          <w:szCs w:val="22"/>
        </w:rPr>
        <w:t xml:space="preserve"> UE </w:t>
      </w:r>
      <w:r>
        <w:rPr>
          <w:rFonts w:asciiTheme="minorHAnsi" w:hAnsiTheme="minorHAnsi" w:cstheme="minorHAnsi"/>
          <w:iCs/>
          <w:sz w:val="22"/>
          <w:szCs w:val="22"/>
        </w:rPr>
        <w:t>moves from a HSDN cell to a non-HSDN cell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, </w:t>
      </w:r>
      <w:r w:rsidRPr="00DD50F5">
        <w:rPr>
          <w:rFonts w:asciiTheme="minorHAnsi" w:hAnsiTheme="minorHAnsi" w:cstheme="minorHAnsi"/>
          <w:iCs/>
          <w:sz w:val="22"/>
          <w:szCs w:val="22"/>
        </w:rPr>
        <w:t xml:space="preserve">gNB can release/pause the QoE config to ensure QoE is collected only in HSDN cells, as long as there is no ongoing QoE </w:t>
      </w:r>
      <w:proofErr w:type="gramStart"/>
      <w:r w:rsidRPr="00DD50F5">
        <w:rPr>
          <w:rFonts w:asciiTheme="minorHAnsi" w:hAnsiTheme="minorHAnsi" w:cstheme="minorHAnsi"/>
          <w:iCs/>
          <w:sz w:val="22"/>
          <w:szCs w:val="22"/>
        </w:rPr>
        <w:t>session</w:t>
      </w:r>
      <w:proofErr w:type="gramEnd"/>
    </w:p>
    <w:p w14:paraId="5DBE06D0" w14:textId="4D186C41" w:rsidR="0055640D" w:rsidRPr="0055640D" w:rsidRDefault="0055640D" w:rsidP="0055640D">
      <w:pPr>
        <w:spacing w:after="0"/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</w:pPr>
      <w:r w:rsidRPr="0055640D"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 xml:space="preserve">QoE enhancements for UEs in </w:t>
      </w:r>
      <w:r>
        <w:rPr>
          <w:rFonts w:ascii="Calibri" w:eastAsia="Times New Roman" w:hAnsi="Calibri" w:cs="Calibri"/>
          <w:b/>
          <w:bCs/>
          <w:sz w:val="24"/>
          <w:szCs w:val="24"/>
          <w:u w:val="single"/>
          <w:lang w:val="en-US"/>
        </w:rPr>
        <w:t>high speed</w:t>
      </w:r>
    </w:p>
    <w:p w14:paraId="7101664A" w14:textId="77777777" w:rsidR="0055640D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</w:p>
    <w:p w14:paraId="691A82AA" w14:textId="77777777" w:rsidR="0055640D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DC351D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 w:rsidRPr="00DC351D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Supporting QMC for “high mobility” mean the following requirements:</w:t>
      </w:r>
    </w:p>
    <w:p w14:paraId="3913AE7E" w14:textId="77777777" w:rsidR="0055640D" w:rsidRDefault="0055640D" w:rsidP="0055640D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iCs/>
          <w:sz w:val="22"/>
          <w:szCs w:val="22"/>
        </w:rPr>
      </w:pPr>
      <w:r w:rsidRPr="0063230F">
        <w:rPr>
          <w:rFonts w:asciiTheme="minorHAnsi" w:hAnsiTheme="minorHAnsi" w:cstheme="minorHAnsi"/>
          <w:b/>
          <w:bCs/>
          <w:iCs/>
          <w:sz w:val="22"/>
          <w:szCs w:val="22"/>
        </w:rPr>
        <w:t>Requirement 1: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1C5C">
        <w:rPr>
          <w:rFonts w:asciiTheme="minorHAnsi" w:hAnsiTheme="minorHAnsi" w:cstheme="minorHAnsi"/>
          <w:iCs/>
          <w:sz w:val="22"/>
          <w:szCs w:val="22"/>
        </w:rPr>
        <w:t xml:space="preserve">To be able to collect QoE from only those UEs which are above a certain </w:t>
      </w:r>
      <w:proofErr w:type="gramStart"/>
      <w:r w:rsidRPr="00941C5C">
        <w:rPr>
          <w:rFonts w:asciiTheme="minorHAnsi" w:hAnsiTheme="minorHAnsi" w:cstheme="minorHAnsi"/>
          <w:iCs/>
          <w:sz w:val="22"/>
          <w:szCs w:val="22"/>
        </w:rPr>
        <w:t>speed</w:t>
      </w:r>
      <w:proofErr w:type="gramEnd"/>
    </w:p>
    <w:p w14:paraId="4319DF7B" w14:textId="77777777" w:rsidR="0055640D" w:rsidRDefault="0055640D" w:rsidP="0055640D">
      <w:pPr>
        <w:pStyle w:val="ListParagraph"/>
        <w:numPr>
          <w:ilvl w:val="0"/>
          <w:numId w:val="38"/>
        </w:numPr>
        <w:rPr>
          <w:rFonts w:asciiTheme="minorHAnsi" w:hAnsiTheme="minorHAnsi" w:cstheme="minorHAnsi"/>
          <w:iCs/>
          <w:sz w:val="22"/>
          <w:szCs w:val="22"/>
        </w:rPr>
      </w:pPr>
      <w:r w:rsidRPr="0063230F">
        <w:rPr>
          <w:rFonts w:asciiTheme="minorHAnsi" w:hAnsiTheme="minorHAnsi" w:cstheme="minorHAnsi"/>
          <w:b/>
          <w:bCs/>
          <w:iCs/>
          <w:sz w:val="22"/>
          <w:szCs w:val="22"/>
        </w:rPr>
        <w:t>Requirement 2:</w:t>
      </w:r>
      <w:r>
        <w:rPr>
          <w:rFonts w:asciiTheme="minorHAnsi" w:hAnsiTheme="minorHAnsi" w:cstheme="minorHAnsi"/>
          <w:iCs/>
          <w:sz w:val="22"/>
          <w:szCs w:val="22"/>
        </w:rPr>
        <w:t xml:space="preserve"> To be able to stop collecting QoE if UE’s speed is below a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529F4501" w14:textId="77777777" w:rsidR="0055640D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 w:rsidRPr="0043198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942533">
        <w:rPr>
          <w:rFonts w:asciiTheme="minorHAnsi" w:hAnsiTheme="minorHAnsi" w:cstheme="minorHAnsi"/>
          <w:iCs/>
          <w:sz w:val="22"/>
          <w:szCs w:val="22"/>
        </w:rPr>
        <w:t>A gNB can know the exact UE speed if sensor measurements (</w:t>
      </w:r>
      <w:r w:rsidRPr="00F318B6">
        <w:rPr>
          <w:rFonts w:asciiTheme="minorHAnsi" w:hAnsiTheme="minorHAnsi" w:cstheme="minorHAnsi"/>
          <w:i/>
          <w:sz w:val="22"/>
          <w:szCs w:val="22"/>
        </w:rPr>
        <w:t>measUeSpeed</w:t>
      </w:r>
      <w:r w:rsidRPr="00942533">
        <w:rPr>
          <w:rFonts w:asciiTheme="minorHAnsi" w:hAnsiTheme="minorHAnsi" w:cstheme="minorHAnsi"/>
          <w:iCs/>
          <w:sz w:val="22"/>
          <w:szCs w:val="22"/>
        </w:rPr>
        <w:t>) are configured as part of immediate MDT measurements.</w:t>
      </w:r>
    </w:p>
    <w:p w14:paraId="4E6F131C" w14:textId="77777777" w:rsidR="0055640D" w:rsidRPr="00F318B6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If OAM is interested in collecting QoE from only UEs in high </w:t>
      </w:r>
      <w:r>
        <w:rPr>
          <w:rFonts w:asciiTheme="minorHAnsi" w:hAnsiTheme="minorHAnsi" w:cstheme="minorHAnsi"/>
          <w:iCs/>
          <w:sz w:val="22"/>
          <w:szCs w:val="22"/>
        </w:rPr>
        <w:t>speed (e.g., speed &gt; X km/h)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state, it can provide a “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” in QoE configuration sent to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gNB</w:t>
      </w:r>
      <w:proofErr w:type="gramEnd"/>
    </w:p>
    <w:p w14:paraId="163CEA06" w14:textId="77777777" w:rsidR="0055640D" w:rsidRPr="00F318B6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5</w:t>
      </w: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Upon receiving </w:t>
      </w:r>
      <w:r>
        <w:rPr>
          <w:rFonts w:asciiTheme="minorHAnsi" w:hAnsiTheme="minorHAnsi" w:cstheme="minorHAnsi"/>
          <w:iCs/>
          <w:sz w:val="22"/>
          <w:szCs w:val="22"/>
        </w:rPr>
        <w:t>the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“</w:t>
      </w:r>
      <w:r w:rsidRPr="00280196">
        <w:rPr>
          <w:rFonts w:asciiTheme="minorHAnsi" w:hAnsiTheme="minorHAnsi" w:cstheme="minorHAnsi"/>
          <w:b/>
          <w:bCs/>
          <w:iCs/>
          <w:sz w:val="22"/>
          <w:szCs w:val="22"/>
        </w:rPr>
        <w:t>Speed threshold”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indicator in </w:t>
      </w:r>
      <w:proofErr w:type="gramStart"/>
      <w:r w:rsidRPr="00F318B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F318B6">
        <w:rPr>
          <w:rFonts w:asciiTheme="minorHAnsi" w:hAnsiTheme="minorHAnsi" w:cstheme="minorHAnsi"/>
          <w:iCs/>
          <w:sz w:val="22"/>
          <w:szCs w:val="22"/>
        </w:rPr>
        <w:t xml:space="preserve"> QoE configuration, a gNB can select only those UEs which are </w:t>
      </w:r>
      <w:r>
        <w:rPr>
          <w:rFonts w:asciiTheme="minorHAnsi" w:hAnsiTheme="minorHAnsi" w:cstheme="minorHAnsi"/>
          <w:iCs/>
          <w:sz w:val="22"/>
          <w:szCs w:val="22"/>
        </w:rPr>
        <w:t>above the speed threshold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39EA9B48" w14:textId="77777777" w:rsidR="0055640D" w:rsidRPr="007E5F0E" w:rsidRDefault="0055640D" w:rsidP="0055640D">
      <w:pPr>
        <w:rPr>
          <w:rFonts w:asciiTheme="minorHAnsi" w:hAnsiTheme="minorHAnsi" w:cstheme="minorHAnsi"/>
          <w:iCs/>
          <w:sz w:val="22"/>
          <w:szCs w:val="22"/>
        </w:rPr>
      </w:pP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6</w:t>
      </w:r>
      <w:r w:rsidRPr="00F318B6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F318B6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W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hen UE’s speed goes below the </w:t>
      </w:r>
      <w:r>
        <w:rPr>
          <w:rFonts w:asciiTheme="minorHAnsi" w:hAnsiTheme="minorHAnsi" w:cstheme="minorHAnsi"/>
          <w:iCs/>
          <w:sz w:val="22"/>
          <w:szCs w:val="22"/>
        </w:rPr>
        <w:t>S</w:t>
      </w:r>
      <w:r w:rsidRPr="007E5F0E">
        <w:rPr>
          <w:rFonts w:asciiTheme="minorHAnsi" w:hAnsiTheme="minorHAnsi" w:cstheme="minorHAnsi"/>
          <w:iCs/>
          <w:sz w:val="22"/>
          <w:szCs w:val="22"/>
        </w:rPr>
        <w:t>peed threshold</w:t>
      </w:r>
      <w:r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7E5F0E">
        <w:rPr>
          <w:rFonts w:asciiTheme="minorHAnsi" w:hAnsiTheme="minorHAnsi" w:cstheme="minorHAnsi"/>
          <w:iCs/>
          <w:sz w:val="22"/>
          <w:szCs w:val="22"/>
        </w:rPr>
        <w:t xml:space="preserve">gNB can release/pause the QoE config to ensure QoE is collected only when UE’s speed is above the Speed </w:t>
      </w:r>
      <w:proofErr w:type="gramStart"/>
      <w:r w:rsidRPr="007E5F0E">
        <w:rPr>
          <w:rFonts w:asciiTheme="minorHAnsi" w:hAnsiTheme="minorHAnsi" w:cstheme="minorHAnsi"/>
          <w:iCs/>
          <w:sz w:val="22"/>
          <w:szCs w:val="22"/>
        </w:rPr>
        <w:t>threshold</w:t>
      </w:r>
      <w:proofErr w:type="gramEnd"/>
    </w:p>
    <w:p w14:paraId="02737FE2" w14:textId="77777777" w:rsidR="005676B6" w:rsidRPr="00C91561" w:rsidRDefault="005676B6" w:rsidP="005676B6">
      <w:pPr>
        <w:rPr>
          <w:rFonts w:asciiTheme="minorHAnsi" w:hAnsiTheme="minorHAnsi" w:cstheme="minorHAnsi"/>
          <w:iCs/>
          <w:sz w:val="22"/>
          <w:szCs w:val="22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Default="007D6E65" w:rsidP="00185DC9">
      <w:pPr>
        <w:rPr>
          <w:rFonts w:asciiTheme="minorHAnsi" w:hAnsiTheme="minorHAnsi" w:cstheme="minorHAnsi"/>
        </w:rPr>
      </w:pPr>
    </w:p>
    <w:p w14:paraId="25D735C2" w14:textId="77777777" w:rsidR="00647E2B" w:rsidRPr="00EF3F1B" w:rsidRDefault="00647E2B" w:rsidP="00185DC9">
      <w:pPr>
        <w:rPr>
          <w:rFonts w:asciiTheme="minorHAnsi" w:hAnsiTheme="minorHAnsi" w:cstheme="minorHAnsi"/>
        </w:rPr>
      </w:pPr>
    </w:p>
    <w:sectPr w:rsidR="00647E2B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604F1" w14:textId="77777777" w:rsidR="0046629D" w:rsidRDefault="0046629D" w:rsidP="006F5F92">
      <w:pPr>
        <w:spacing w:after="0"/>
      </w:pPr>
      <w:r>
        <w:separator/>
      </w:r>
    </w:p>
  </w:endnote>
  <w:endnote w:type="continuationSeparator" w:id="0">
    <w:p w14:paraId="7803CD12" w14:textId="77777777" w:rsidR="0046629D" w:rsidRDefault="0046629D" w:rsidP="006F5F92">
      <w:pPr>
        <w:spacing w:after="0"/>
      </w:pPr>
      <w:r>
        <w:continuationSeparator/>
      </w:r>
    </w:p>
  </w:endnote>
  <w:endnote w:type="continuationNotice" w:id="1">
    <w:p w14:paraId="3E7BC258" w14:textId="77777777" w:rsidR="0046629D" w:rsidRDefault="0046629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98E0D" w14:textId="77777777" w:rsidR="0046629D" w:rsidRDefault="0046629D" w:rsidP="006F5F92">
      <w:pPr>
        <w:spacing w:after="0"/>
      </w:pPr>
      <w:r>
        <w:separator/>
      </w:r>
    </w:p>
  </w:footnote>
  <w:footnote w:type="continuationSeparator" w:id="0">
    <w:p w14:paraId="17D79761" w14:textId="77777777" w:rsidR="0046629D" w:rsidRDefault="0046629D" w:rsidP="006F5F92">
      <w:pPr>
        <w:spacing w:after="0"/>
      </w:pPr>
      <w:r>
        <w:continuationSeparator/>
      </w:r>
    </w:p>
  </w:footnote>
  <w:footnote w:type="continuationNotice" w:id="1">
    <w:p w14:paraId="0C310816" w14:textId="77777777" w:rsidR="0046629D" w:rsidRDefault="0046629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75CFC"/>
    <w:multiLevelType w:val="hybridMultilevel"/>
    <w:tmpl w:val="EE027B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244F2B2B"/>
    <w:multiLevelType w:val="hybridMultilevel"/>
    <w:tmpl w:val="84BEF2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A6257"/>
    <w:multiLevelType w:val="hybridMultilevel"/>
    <w:tmpl w:val="7082BAA2"/>
    <w:lvl w:ilvl="0" w:tplc="C7E63DE2">
      <w:start w:val="9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4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6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A67A5"/>
    <w:multiLevelType w:val="hybridMultilevel"/>
    <w:tmpl w:val="704EE296"/>
    <w:lvl w:ilvl="0" w:tplc="30CC576E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56184E"/>
    <w:multiLevelType w:val="hybridMultilevel"/>
    <w:tmpl w:val="61DE1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2" w15:restartNumberingAfterBreak="0">
    <w:nsid w:val="76352ACF"/>
    <w:multiLevelType w:val="hybridMultilevel"/>
    <w:tmpl w:val="C3529960"/>
    <w:lvl w:ilvl="0" w:tplc="CC60F35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EC3ACC"/>
    <w:multiLevelType w:val="hybridMultilevel"/>
    <w:tmpl w:val="B7384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9030">
    <w:abstractNumId w:val="8"/>
  </w:num>
  <w:num w:numId="2" w16cid:durableId="2123642210">
    <w:abstractNumId w:val="17"/>
  </w:num>
  <w:num w:numId="3" w16cid:durableId="1268731086">
    <w:abstractNumId w:val="2"/>
  </w:num>
  <w:num w:numId="4" w16cid:durableId="903562478">
    <w:abstractNumId w:val="30"/>
  </w:num>
  <w:num w:numId="5" w16cid:durableId="1109738204">
    <w:abstractNumId w:val="14"/>
  </w:num>
  <w:num w:numId="6" w16cid:durableId="1998219406">
    <w:abstractNumId w:val="31"/>
  </w:num>
  <w:num w:numId="7" w16cid:durableId="378239966">
    <w:abstractNumId w:val="16"/>
  </w:num>
  <w:num w:numId="8" w16cid:durableId="527837122">
    <w:abstractNumId w:val="3"/>
  </w:num>
  <w:num w:numId="9" w16cid:durableId="1155414934">
    <w:abstractNumId w:val="4"/>
  </w:num>
  <w:num w:numId="10" w16cid:durableId="82648626">
    <w:abstractNumId w:val="11"/>
  </w:num>
  <w:num w:numId="11" w16cid:durableId="4134974">
    <w:abstractNumId w:val="33"/>
  </w:num>
  <w:num w:numId="12" w16cid:durableId="1113599897">
    <w:abstractNumId w:val="1"/>
  </w:num>
  <w:num w:numId="13" w16cid:durableId="607086777">
    <w:abstractNumId w:val="37"/>
  </w:num>
  <w:num w:numId="14" w16cid:durableId="937373745">
    <w:abstractNumId w:val="26"/>
  </w:num>
  <w:num w:numId="15" w16cid:durableId="865097392">
    <w:abstractNumId w:val="5"/>
  </w:num>
  <w:num w:numId="16" w16cid:durableId="1411808693">
    <w:abstractNumId w:val="18"/>
  </w:num>
  <w:num w:numId="17" w16cid:durableId="1669362983">
    <w:abstractNumId w:val="12"/>
  </w:num>
  <w:num w:numId="18" w16cid:durableId="1224369075">
    <w:abstractNumId w:val="28"/>
  </w:num>
  <w:num w:numId="19" w16cid:durableId="1642149166">
    <w:abstractNumId w:val="21"/>
  </w:num>
  <w:num w:numId="20" w16cid:durableId="160893817">
    <w:abstractNumId w:val="27"/>
  </w:num>
  <w:num w:numId="21" w16cid:durableId="923954502">
    <w:abstractNumId w:val="25"/>
  </w:num>
  <w:num w:numId="22" w16cid:durableId="518395559">
    <w:abstractNumId w:val="23"/>
  </w:num>
  <w:num w:numId="23" w16cid:durableId="1276906967">
    <w:abstractNumId w:val="20"/>
  </w:num>
  <w:num w:numId="24" w16cid:durableId="1927182264">
    <w:abstractNumId w:val="15"/>
  </w:num>
  <w:num w:numId="25" w16cid:durableId="23294125">
    <w:abstractNumId w:val="35"/>
  </w:num>
  <w:num w:numId="26" w16cid:durableId="1768034534">
    <w:abstractNumId w:val="19"/>
  </w:num>
  <w:num w:numId="27" w16cid:durableId="53160545">
    <w:abstractNumId w:val="9"/>
  </w:num>
  <w:num w:numId="28" w16cid:durableId="944657917">
    <w:abstractNumId w:val="6"/>
  </w:num>
  <w:num w:numId="29" w16cid:durableId="1233008063">
    <w:abstractNumId w:val="10"/>
  </w:num>
  <w:num w:numId="30" w16cid:durableId="1261256570">
    <w:abstractNumId w:val="36"/>
  </w:num>
  <w:num w:numId="31" w16cid:durableId="1555772939">
    <w:abstractNumId w:val="22"/>
  </w:num>
  <w:num w:numId="32" w16cid:durableId="1248728664">
    <w:abstractNumId w:val="13"/>
  </w:num>
  <w:num w:numId="33" w16cid:durableId="292291554">
    <w:abstractNumId w:val="24"/>
  </w:num>
  <w:num w:numId="34" w16cid:durableId="363946950">
    <w:abstractNumId w:val="32"/>
  </w:num>
  <w:num w:numId="35" w16cid:durableId="1089081284">
    <w:abstractNumId w:val="0"/>
  </w:num>
  <w:num w:numId="36" w16cid:durableId="1239827501">
    <w:abstractNumId w:val="7"/>
  </w:num>
  <w:num w:numId="37" w16cid:durableId="1480342511">
    <w:abstractNumId w:val="34"/>
  </w:num>
  <w:num w:numId="38" w16cid:durableId="1635987888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1EEB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4425"/>
    <w:rsid w:val="00025BC1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86751"/>
    <w:rsid w:val="00087303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7B1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33B"/>
    <w:rsid w:val="000E1826"/>
    <w:rsid w:val="000E191F"/>
    <w:rsid w:val="000E1B61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478F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3A9"/>
    <w:rsid w:val="00193462"/>
    <w:rsid w:val="001935AF"/>
    <w:rsid w:val="0019451A"/>
    <w:rsid w:val="001945B0"/>
    <w:rsid w:val="00196BDF"/>
    <w:rsid w:val="001976E5"/>
    <w:rsid w:val="001A0126"/>
    <w:rsid w:val="001A0BD4"/>
    <w:rsid w:val="001A20A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042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3E2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196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96465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5400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1986"/>
    <w:rsid w:val="00432354"/>
    <w:rsid w:val="004327AB"/>
    <w:rsid w:val="00432FAC"/>
    <w:rsid w:val="00433497"/>
    <w:rsid w:val="00435E68"/>
    <w:rsid w:val="0043755E"/>
    <w:rsid w:val="004449F2"/>
    <w:rsid w:val="00446CE7"/>
    <w:rsid w:val="00447D5D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6629D"/>
    <w:rsid w:val="00471FC4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34DC"/>
    <w:rsid w:val="004B4700"/>
    <w:rsid w:val="004B498E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E732D"/>
    <w:rsid w:val="004F13E3"/>
    <w:rsid w:val="004F24C6"/>
    <w:rsid w:val="004F5083"/>
    <w:rsid w:val="004F5179"/>
    <w:rsid w:val="004F564B"/>
    <w:rsid w:val="004F7718"/>
    <w:rsid w:val="00502455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46"/>
    <w:rsid w:val="00514E61"/>
    <w:rsid w:val="0051767B"/>
    <w:rsid w:val="00520274"/>
    <w:rsid w:val="00522EF6"/>
    <w:rsid w:val="0052366D"/>
    <w:rsid w:val="00527993"/>
    <w:rsid w:val="00530927"/>
    <w:rsid w:val="0053162F"/>
    <w:rsid w:val="00532373"/>
    <w:rsid w:val="00534B18"/>
    <w:rsid w:val="00534ED0"/>
    <w:rsid w:val="005363C8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4360"/>
    <w:rsid w:val="005552F5"/>
    <w:rsid w:val="00555822"/>
    <w:rsid w:val="00555E0D"/>
    <w:rsid w:val="0055640D"/>
    <w:rsid w:val="00560AB8"/>
    <w:rsid w:val="00561066"/>
    <w:rsid w:val="00561A12"/>
    <w:rsid w:val="00561F60"/>
    <w:rsid w:val="00563CB0"/>
    <w:rsid w:val="00564640"/>
    <w:rsid w:val="00565665"/>
    <w:rsid w:val="00565BAA"/>
    <w:rsid w:val="005676B6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09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2DF8"/>
    <w:rsid w:val="005E3F3F"/>
    <w:rsid w:val="005E4355"/>
    <w:rsid w:val="005E5754"/>
    <w:rsid w:val="005E6DE2"/>
    <w:rsid w:val="005F00C8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0365"/>
    <w:rsid w:val="00622AB5"/>
    <w:rsid w:val="006230C7"/>
    <w:rsid w:val="006236F5"/>
    <w:rsid w:val="00626CC8"/>
    <w:rsid w:val="00627C10"/>
    <w:rsid w:val="00630942"/>
    <w:rsid w:val="00631353"/>
    <w:rsid w:val="0063230F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47E2B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13F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818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3FB1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4206"/>
    <w:rsid w:val="007E5C90"/>
    <w:rsid w:val="007E5F0E"/>
    <w:rsid w:val="007E6A65"/>
    <w:rsid w:val="007E6F73"/>
    <w:rsid w:val="007F1FA2"/>
    <w:rsid w:val="007F2099"/>
    <w:rsid w:val="007F2362"/>
    <w:rsid w:val="007F6365"/>
    <w:rsid w:val="007F729B"/>
    <w:rsid w:val="008005AC"/>
    <w:rsid w:val="008059A9"/>
    <w:rsid w:val="008059C4"/>
    <w:rsid w:val="008061AC"/>
    <w:rsid w:val="008063AF"/>
    <w:rsid w:val="008067FB"/>
    <w:rsid w:val="00806EF0"/>
    <w:rsid w:val="00810454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44FA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1045"/>
    <w:rsid w:val="0093494B"/>
    <w:rsid w:val="009375A3"/>
    <w:rsid w:val="00941C5C"/>
    <w:rsid w:val="0094253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3F53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A72C1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60BA"/>
    <w:rsid w:val="009D75D0"/>
    <w:rsid w:val="009E1572"/>
    <w:rsid w:val="009E1C6C"/>
    <w:rsid w:val="009E4270"/>
    <w:rsid w:val="009E44B3"/>
    <w:rsid w:val="009E4C07"/>
    <w:rsid w:val="009E78B1"/>
    <w:rsid w:val="009F161E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55D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022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07511"/>
    <w:rsid w:val="00B1050E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27231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470CE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09C6"/>
    <w:rsid w:val="00BB0D6A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BF629A"/>
    <w:rsid w:val="00C014D3"/>
    <w:rsid w:val="00C0485C"/>
    <w:rsid w:val="00C05F29"/>
    <w:rsid w:val="00C06F62"/>
    <w:rsid w:val="00C11D95"/>
    <w:rsid w:val="00C127E9"/>
    <w:rsid w:val="00C12949"/>
    <w:rsid w:val="00C13DC0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27D3F"/>
    <w:rsid w:val="00C31945"/>
    <w:rsid w:val="00C323F3"/>
    <w:rsid w:val="00C33120"/>
    <w:rsid w:val="00C369F0"/>
    <w:rsid w:val="00C36A7A"/>
    <w:rsid w:val="00C377CE"/>
    <w:rsid w:val="00C37F17"/>
    <w:rsid w:val="00C40B9C"/>
    <w:rsid w:val="00C429E2"/>
    <w:rsid w:val="00C440FC"/>
    <w:rsid w:val="00C44396"/>
    <w:rsid w:val="00C44487"/>
    <w:rsid w:val="00C4458D"/>
    <w:rsid w:val="00C45C8A"/>
    <w:rsid w:val="00C470AE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610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561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C7133"/>
    <w:rsid w:val="00CD2669"/>
    <w:rsid w:val="00CD2F66"/>
    <w:rsid w:val="00CD760F"/>
    <w:rsid w:val="00CE0638"/>
    <w:rsid w:val="00CE1E91"/>
    <w:rsid w:val="00CE3843"/>
    <w:rsid w:val="00CE3ABB"/>
    <w:rsid w:val="00CE409F"/>
    <w:rsid w:val="00CE50F5"/>
    <w:rsid w:val="00CE56B2"/>
    <w:rsid w:val="00CE68A9"/>
    <w:rsid w:val="00CE69F9"/>
    <w:rsid w:val="00CE7308"/>
    <w:rsid w:val="00CF02EE"/>
    <w:rsid w:val="00CF0660"/>
    <w:rsid w:val="00CF0FD9"/>
    <w:rsid w:val="00CF14E2"/>
    <w:rsid w:val="00CF2CB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219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5FCA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709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351D"/>
    <w:rsid w:val="00DC44BF"/>
    <w:rsid w:val="00DC488E"/>
    <w:rsid w:val="00DC703A"/>
    <w:rsid w:val="00DC73C8"/>
    <w:rsid w:val="00DC7EA0"/>
    <w:rsid w:val="00DD0372"/>
    <w:rsid w:val="00DD2954"/>
    <w:rsid w:val="00DD2A7E"/>
    <w:rsid w:val="00DD33DA"/>
    <w:rsid w:val="00DD3B00"/>
    <w:rsid w:val="00DD4C63"/>
    <w:rsid w:val="00DD50F5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A7D19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4DE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18B6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26D2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379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l0">
    <w:name w:val="tal"/>
    <w:basedOn w:val="Normal"/>
    <w:rsid w:val="004E732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RCoverPageZchn">
    <w:name w:val="CR Cover Page Zchn"/>
    <w:link w:val="CRCoverPage"/>
    <w:locked/>
    <w:rsid w:val="00024425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024425"/>
    <w:pPr>
      <w:spacing w:after="120" w:line="240" w:lineRule="auto"/>
    </w:pPr>
    <w:rPr>
      <w:rFonts w:ascii="Arial" w:hAnsi="Arial" w:cs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6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1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Qualcomm (Shankar Krishnan)</cp:lastModifiedBy>
  <cp:revision>500</cp:revision>
  <dcterms:created xsi:type="dcterms:W3CDTF">2021-08-05T07:20:00Z</dcterms:created>
  <dcterms:modified xsi:type="dcterms:W3CDTF">2023-11-02T18:11:00Z</dcterms:modified>
</cp:coreProperties>
</file>